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D6A344" w14:textId="77777777" w:rsidR="00337CA3" w:rsidRDefault="00337CA3" w:rsidP="00337CA3">
      <w:pPr>
        <w:pStyle w:val="Heading1"/>
      </w:pPr>
      <w:r>
        <w:t>Annex 1: Matrix of o</w:t>
      </w:r>
      <w:r w:rsidRPr="00990B7D">
        <w:t>bjectives, evaluation criteria and evaluation questions</w:t>
      </w:r>
    </w:p>
    <w:tbl>
      <w:tblPr>
        <w:tblStyle w:val="TableGrid"/>
        <w:tblW w:w="0" w:type="auto"/>
        <w:tblLook w:val="04A0" w:firstRow="1" w:lastRow="0" w:firstColumn="1" w:lastColumn="0" w:noHBand="0" w:noVBand="1"/>
      </w:tblPr>
      <w:tblGrid>
        <w:gridCol w:w="4021"/>
        <w:gridCol w:w="1506"/>
        <w:gridCol w:w="3823"/>
      </w:tblGrid>
      <w:tr w:rsidR="00337CA3" w:rsidRPr="004507F6" w14:paraId="29E61124" w14:textId="77777777" w:rsidTr="001714FB">
        <w:tc>
          <w:tcPr>
            <w:tcW w:w="0" w:type="auto"/>
          </w:tcPr>
          <w:p w14:paraId="6E4243B6" w14:textId="77777777" w:rsidR="00337CA3" w:rsidRPr="004507F6" w:rsidRDefault="00337CA3" w:rsidP="001714FB">
            <w:pPr>
              <w:rPr>
                <w:b/>
                <w:bCs/>
              </w:rPr>
            </w:pPr>
            <w:r w:rsidRPr="004507F6">
              <w:rPr>
                <w:b/>
                <w:bCs/>
              </w:rPr>
              <w:t>Objectives</w:t>
            </w:r>
          </w:p>
        </w:tc>
        <w:tc>
          <w:tcPr>
            <w:tcW w:w="0" w:type="auto"/>
          </w:tcPr>
          <w:p w14:paraId="7F2C9F6A" w14:textId="77777777" w:rsidR="00337CA3" w:rsidRPr="004507F6" w:rsidRDefault="00337CA3" w:rsidP="001714FB">
            <w:pPr>
              <w:rPr>
                <w:b/>
                <w:bCs/>
              </w:rPr>
            </w:pPr>
            <w:r w:rsidRPr="004507F6">
              <w:rPr>
                <w:b/>
                <w:bCs/>
              </w:rPr>
              <w:t>Criteria</w:t>
            </w:r>
          </w:p>
        </w:tc>
        <w:tc>
          <w:tcPr>
            <w:tcW w:w="0" w:type="auto"/>
          </w:tcPr>
          <w:p w14:paraId="6DECA0EA" w14:textId="77777777" w:rsidR="00337CA3" w:rsidRPr="004507F6" w:rsidRDefault="00337CA3" w:rsidP="001714FB">
            <w:pPr>
              <w:rPr>
                <w:b/>
                <w:bCs/>
              </w:rPr>
            </w:pPr>
            <w:r w:rsidRPr="004507F6">
              <w:rPr>
                <w:b/>
                <w:bCs/>
              </w:rPr>
              <w:t>Questions</w:t>
            </w:r>
          </w:p>
        </w:tc>
      </w:tr>
      <w:tr w:rsidR="00337CA3" w14:paraId="75DE0490" w14:textId="77777777" w:rsidTr="001714FB">
        <w:tc>
          <w:tcPr>
            <w:tcW w:w="0" w:type="auto"/>
            <w:vMerge w:val="restart"/>
          </w:tcPr>
          <w:p w14:paraId="7A2C6DB6" w14:textId="77777777" w:rsidR="00337CA3" w:rsidRDefault="00337CA3" w:rsidP="001714FB">
            <w:r w:rsidRPr="00680D37">
              <w:t>1.</w:t>
            </w:r>
            <w:r>
              <w:t xml:space="preserve"> </w:t>
            </w:r>
            <w:r w:rsidRPr="00680D37">
              <w:t>To assess the relevance, coherence, effectiveness and sustainability of SNI in strengthening SRHR knowledge networks, access, generation, sharing and application in the seven hubs and internationally over the five years of implementation (2020-2024).</w:t>
            </w:r>
          </w:p>
        </w:tc>
        <w:tc>
          <w:tcPr>
            <w:tcW w:w="0" w:type="auto"/>
          </w:tcPr>
          <w:p w14:paraId="1579E4F1" w14:textId="77777777" w:rsidR="00337CA3" w:rsidRDefault="00337CA3" w:rsidP="001714FB">
            <w:r>
              <w:t>Relevance</w:t>
            </w:r>
          </w:p>
          <w:p w14:paraId="0050B4EA" w14:textId="77777777" w:rsidR="00337CA3" w:rsidRDefault="00337CA3" w:rsidP="001714FB"/>
        </w:tc>
        <w:tc>
          <w:tcPr>
            <w:tcW w:w="0" w:type="auto"/>
          </w:tcPr>
          <w:p w14:paraId="333933CD" w14:textId="77777777" w:rsidR="00337CA3" w:rsidRDefault="00337CA3" w:rsidP="001714FB">
            <w:pPr>
              <w:pStyle w:val="ListParagraph"/>
              <w:numPr>
                <w:ilvl w:val="0"/>
                <w:numId w:val="1"/>
              </w:numPr>
              <w:ind w:left="179" w:hanging="218"/>
            </w:pPr>
            <w:r>
              <w:t xml:space="preserve">Does SNI’s intervention as formulated in the </w:t>
            </w:r>
            <w:proofErr w:type="spellStart"/>
            <w:r>
              <w:t>ToC</w:t>
            </w:r>
            <w:proofErr w:type="spellEnd"/>
            <w:r>
              <w:t xml:space="preserve"> respond to the knowledge needs and priorities of SRHR researchers, practitioners, policy makers and end beneficiaries?</w:t>
            </w:r>
          </w:p>
          <w:p w14:paraId="3484FB31" w14:textId="77777777" w:rsidR="00337CA3" w:rsidRDefault="00337CA3" w:rsidP="001714FB">
            <w:pPr>
              <w:pStyle w:val="ListParagraph"/>
              <w:numPr>
                <w:ilvl w:val="0"/>
                <w:numId w:val="2"/>
              </w:numPr>
              <w:ind w:left="462" w:hanging="218"/>
            </w:pPr>
            <w:r>
              <w:t>If so, how and do differences in the level of responding to needs and priorities exist between different stakeholders?</w:t>
            </w:r>
          </w:p>
          <w:p w14:paraId="6CA5661B" w14:textId="77777777" w:rsidR="00337CA3" w:rsidRDefault="00337CA3" w:rsidP="001714FB">
            <w:pPr>
              <w:pStyle w:val="ListParagraph"/>
              <w:numPr>
                <w:ilvl w:val="0"/>
                <w:numId w:val="2"/>
              </w:numPr>
              <w:ind w:left="462" w:hanging="218"/>
            </w:pPr>
            <w:r>
              <w:t xml:space="preserve">If not, why not? </w:t>
            </w:r>
          </w:p>
          <w:p w14:paraId="204B1BD0" w14:textId="77777777" w:rsidR="00337CA3" w:rsidRDefault="00337CA3" w:rsidP="001714FB">
            <w:pPr>
              <w:pStyle w:val="ListParagraph"/>
              <w:numPr>
                <w:ilvl w:val="0"/>
                <w:numId w:val="1"/>
              </w:numPr>
              <w:ind w:left="179" w:hanging="218"/>
            </w:pPr>
            <w:r>
              <w:t>Was the intervention adapted to the different country contexts and to possible changes in those contexts?</w:t>
            </w:r>
          </w:p>
          <w:p w14:paraId="7C76B3BB" w14:textId="77777777" w:rsidR="00337CA3" w:rsidRDefault="00337CA3" w:rsidP="001714FB">
            <w:pPr>
              <w:pStyle w:val="ListParagraph"/>
              <w:numPr>
                <w:ilvl w:val="0"/>
                <w:numId w:val="2"/>
              </w:numPr>
              <w:ind w:left="462" w:hanging="218"/>
            </w:pPr>
            <w:r>
              <w:t xml:space="preserve">If so, how? </w:t>
            </w:r>
          </w:p>
          <w:p w14:paraId="70D9FD79" w14:textId="77777777" w:rsidR="00337CA3" w:rsidRDefault="00337CA3" w:rsidP="001714FB">
            <w:pPr>
              <w:pStyle w:val="ListParagraph"/>
              <w:numPr>
                <w:ilvl w:val="0"/>
                <w:numId w:val="2"/>
              </w:numPr>
              <w:ind w:left="462" w:hanging="218"/>
            </w:pPr>
            <w:r>
              <w:t>If not, why not?</w:t>
            </w:r>
          </w:p>
        </w:tc>
      </w:tr>
      <w:tr w:rsidR="00337CA3" w14:paraId="26305099" w14:textId="77777777" w:rsidTr="001714FB">
        <w:tc>
          <w:tcPr>
            <w:tcW w:w="0" w:type="auto"/>
            <w:vMerge/>
          </w:tcPr>
          <w:p w14:paraId="61620105" w14:textId="77777777" w:rsidR="00337CA3" w:rsidRPr="00680D37" w:rsidRDefault="00337CA3" w:rsidP="001714FB"/>
        </w:tc>
        <w:tc>
          <w:tcPr>
            <w:tcW w:w="0" w:type="auto"/>
          </w:tcPr>
          <w:p w14:paraId="07CE0EA3" w14:textId="77777777" w:rsidR="00337CA3" w:rsidRDefault="00337CA3" w:rsidP="001714FB">
            <w:r w:rsidRPr="00775D60">
              <w:t>Coherence</w:t>
            </w:r>
          </w:p>
        </w:tc>
        <w:tc>
          <w:tcPr>
            <w:tcW w:w="0" w:type="auto"/>
          </w:tcPr>
          <w:p w14:paraId="07143353" w14:textId="77777777" w:rsidR="00337CA3" w:rsidRDefault="00337CA3" w:rsidP="001714FB">
            <w:pPr>
              <w:pStyle w:val="ListParagraph"/>
              <w:numPr>
                <w:ilvl w:val="0"/>
                <w:numId w:val="1"/>
              </w:numPr>
              <w:ind w:left="179" w:hanging="218"/>
            </w:pPr>
            <w:r>
              <w:t xml:space="preserve">Is SNI compatible with other relevant SRHR and knowledge management interventions at country level , namely: </w:t>
            </w:r>
          </w:p>
          <w:p w14:paraId="2D019BCB" w14:textId="77777777" w:rsidR="00337CA3" w:rsidRDefault="00337CA3" w:rsidP="001714FB">
            <w:pPr>
              <w:pStyle w:val="ListParagraph"/>
              <w:numPr>
                <w:ilvl w:val="0"/>
                <w:numId w:val="2"/>
              </w:numPr>
              <w:ind w:left="462" w:hanging="218"/>
            </w:pPr>
            <w:r>
              <w:t>national or sectoral SRHR policies, programmes or  networks?</w:t>
            </w:r>
          </w:p>
          <w:p w14:paraId="31C28DC5" w14:textId="77777777" w:rsidR="00337CA3" w:rsidRDefault="00337CA3" w:rsidP="001714FB">
            <w:pPr>
              <w:pStyle w:val="ListParagraph"/>
              <w:numPr>
                <w:ilvl w:val="0"/>
                <w:numId w:val="2"/>
              </w:numPr>
              <w:ind w:left="462" w:hanging="218"/>
            </w:pPr>
            <w:r>
              <w:t xml:space="preserve">other SRHR programmes funded by MFA through their strategic partnerships or through the embassies? </w:t>
            </w:r>
          </w:p>
          <w:p w14:paraId="0FC57BF0" w14:textId="77777777" w:rsidR="00337CA3" w:rsidRDefault="00337CA3" w:rsidP="001714FB">
            <w:pPr>
              <w:pStyle w:val="ListParagraph"/>
              <w:numPr>
                <w:ilvl w:val="0"/>
                <w:numId w:val="2"/>
              </w:numPr>
              <w:ind w:left="462" w:hanging="218"/>
            </w:pPr>
            <w:r>
              <w:t>other programmes or projects of the hub’s member or host organizations?</w:t>
            </w:r>
          </w:p>
        </w:tc>
      </w:tr>
      <w:tr w:rsidR="00337CA3" w14:paraId="27451DA3" w14:textId="77777777" w:rsidTr="001714FB">
        <w:tc>
          <w:tcPr>
            <w:tcW w:w="0" w:type="auto"/>
            <w:vMerge/>
          </w:tcPr>
          <w:p w14:paraId="2690D014" w14:textId="77777777" w:rsidR="00337CA3" w:rsidRPr="00680D37" w:rsidRDefault="00337CA3" w:rsidP="001714FB"/>
        </w:tc>
        <w:tc>
          <w:tcPr>
            <w:tcW w:w="0" w:type="auto"/>
          </w:tcPr>
          <w:p w14:paraId="1C8B6895" w14:textId="77777777" w:rsidR="00337CA3" w:rsidRDefault="00337CA3" w:rsidP="001714FB">
            <w:r w:rsidRPr="00775D60">
              <w:t>Effectiveness</w:t>
            </w:r>
          </w:p>
        </w:tc>
        <w:tc>
          <w:tcPr>
            <w:tcW w:w="0" w:type="auto"/>
          </w:tcPr>
          <w:p w14:paraId="2B37E363" w14:textId="77777777" w:rsidR="00337CA3" w:rsidRDefault="00337CA3" w:rsidP="001714FB">
            <w:pPr>
              <w:pStyle w:val="ListParagraph"/>
              <w:numPr>
                <w:ilvl w:val="0"/>
                <w:numId w:val="1"/>
              </w:numPr>
              <w:ind w:left="179" w:hanging="218"/>
            </w:pPr>
            <w:r>
              <w:t>Has SNI achieved effects, both intended and unintended (positive- and or negative), regarding the strengthening of:</w:t>
            </w:r>
          </w:p>
          <w:p w14:paraId="1A1B1CD7" w14:textId="77777777" w:rsidR="00337CA3" w:rsidRDefault="00337CA3" w:rsidP="001714FB">
            <w:pPr>
              <w:pStyle w:val="ListParagraph"/>
              <w:numPr>
                <w:ilvl w:val="0"/>
                <w:numId w:val="2"/>
              </w:numPr>
              <w:ind w:left="462" w:hanging="218"/>
            </w:pPr>
            <w:r>
              <w:t>SRHR knowledge networks,</w:t>
            </w:r>
          </w:p>
          <w:p w14:paraId="1D2E2FB6" w14:textId="77777777" w:rsidR="00337CA3" w:rsidRDefault="00337CA3" w:rsidP="001714FB">
            <w:pPr>
              <w:pStyle w:val="ListParagraph"/>
              <w:numPr>
                <w:ilvl w:val="0"/>
                <w:numId w:val="2"/>
              </w:numPr>
              <w:ind w:left="462" w:hanging="218"/>
            </w:pPr>
            <w:r>
              <w:t xml:space="preserve">knowledge access, </w:t>
            </w:r>
          </w:p>
          <w:p w14:paraId="0FE91729" w14:textId="77777777" w:rsidR="00337CA3" w:rsidRDefault="00337CA3" w:rsidP="001714FB">
            <w:pPr>
              <w:pStyle w:val="ListParagraph"/>
              <w:numPr>
                <w:ilvl w:val="0"/>
                <w:numId w:val="2"/>
              </w:numPr>
              <w:ind w:left="462" w:hanging="218"/>
            </w:pPr>
            <w:r>
              <w:t>knowledge generation,</w:t>
            </w:r>
          </w:p>
          <w:p w14:paraId="7C2A42A7" w14:textId="77777777" w:rsidR="00337CA3" w:rsidRDefault="00337CA3" w:rsidP="001714FB">
            <w:pPr>
              <w:pStyle w:val="ListParagraph"/>
              <w:numPr>
                <w:ilvl w:val="0"/>
                <w:numId w:val="2"/>
              </w:numPr>
              <w:ind w:left="462" w:hanging="218"/>
            </w:pPr>
            <w:r>
              <w:t>knowledge sharing</w:t>
            </w:r>
          </w:p>
          <w:p w14:paraId="7C4BFACC" w14:textId="77777777" w:rsidR="00337CA3" w:rsidRDefault="00337CA3" w:rsidP="001714FB">
            <w:pPr>
              <w:pStyle w:val="ListParagraph"/>
              <w:numPr>
                <w:ilvl w:val="0"/>
                <w:numId w:val="2"/>
              </w:numPr>
              <w:ind w:left="462" w:hanging="218"/>
            </w:pPr>
            <w:r>
              <w:lastRenderedPageBreak/>
              <w:t>knowledge application to policy and practice,</w:t>
            </w:r>
          </w:p>
          <w:p w14:paraId="09E16750" w14:textId="77777777" w:rsidR="00337CA3" w:rsidRDefault="00337CA3" w:rsidP="001714FB">
            <w:pPr>
              <w:pStyle w:val="ListParagraph"/>
              <w:numPr>
                <w:ilvl w:val="0"/>
                <w:numId w:val="2"/>
              </w:numPr>
              <w:ind w:left="462" w:hanging="218"/>
            </w:pPr>
            <w:r>
              <w:t>and in relation to its different target groups (researchers, practitioners and policymakers)?</w:t>
            </w:r>
          </w:p>
        </w:tc>
      </w:tr>
      <w:tr w:rsidR="00337CA3" w14:paraId="64E9DD0C" w14:textId="77777777" w:rsidTr="001714FB">
        <w:tc>
          <w:tcPr>
            <w:tcW w:w="0" w:type="auto"/>
          </w:tcPr>
          <w:p w14:paraId="218ECB30" w14:textId="77777777" w:rsidR="00337CA3" w:rsidRDefault="00337CA3" w:rsidP="001714FB">
            <w:r w:rsidRPr="00680D37">
              <w:lastRenderedPageBreak/>
              <w:t>2.</w:t>
            </w:r>
            <w:r>
              <w:t xml:space="preserve"> </w:t>
            </w:r>
            <w:r w:rsidRPr="00680D37">
              <w:t>To assess the validity of the causal pathways linking activities, outputs and outcomes in SNI’s Theory of Change, and their underlying assumptions, and the extent to which they were adapted to the different country contexts.</w:t>
            </w:r>
          </w:p>
        </w:tc>
        <w:tc>
          <w:tcPr>
            <w:tcW w:w="0" w:type="auto"/>
          </w:tcPr>
          <w:p w14:paraId="7E15A329" w14:textId="77777777" w:rsidR="00337CA3" w:rsidRDefault="00337CA3" w:rsidP="001714FB">
            <w:r>
              <w:t>Effectiveness</w:t>
            </w:r>
          </w:p>
        </w:tc>
        <w:tc>
          <w:tcPr>
            <w:tcW w:w="0" w:type="auto"/>
          </w:tcPr>
          <w:p w14:paraId="1F215AFA" w14:textId="77777777" w:rsidR="00337CA3" w:rsidRDefault="00337CA3" w:rsidP="001714FB">
            <w:pPr>
              <w:pStyle w:val="ListParagraph"/>
              <w:numPr>
                <w:ilvl w:val="0"/>
                <w:numId w:val="1"/>
              </w:numPr>
              <w:ind w:left="179" w:hanging="218"/>
            </w:pPr>
            <w:r>
              <w:t xml:space="preserve">How have these effects been achieved, and how are they related to activities and outputs along SNI’s </w:t>
            </w:r>
            <w:proofErr w:type="spellStart"/>
            <w:r>
              <w:t>ToC</w:t>
            </w:r>
            <w:proofErr w:type="spellEnd"/>
            <w:r>
              <w:t xml:space="preserve"> pathways, and to other factors, internal or external? </w:t>
            </w:r>
          </w:p>
          <w:p w14:paraId="5DABDEB1" w14:textId="77777777" w:rsidR="00337CA3" w:rsidRPr="007947B5" w:rsidRDefault="00337CA3" w:rsidP="001714FB">
            <w:pPr>
              <w:pStyle w:val="ListParagraph"/>
              <w:numPr>
                <w:ilvl w:val="0"/>
                <w:numId w:val="1"/>
              </w:numPr>
              <w:ind w:left="179" w:hanging="218"/>
            </w:pPr>
            <w:r>
              <w:t>How relevant and valid are the assumptions underlying the programme's theory of change globally and in different country contexts?</w:t>
            </w:r>
          </w:p>
          <w:p w14:paraId="258B1D25" w14:textId="77777777" w:rsidR="00337CA3" w:rsidRDefault="00337CA3" w:rsidP="001714FB">
            <w:pPr>
              <w:pStyle w:val="ListParagraph"/>
              <w:numPr>
                <w:ilvl w:val="0"/>
                <w:numId w:val="2"/>
              </w:numPr>
              <w:ind w:left="462" w:hanging="218"/>
            </w:pPr>
            <w:r w:rsidRPr="007947B5">
              <w:t>What evidence supports the validity of the assumptions underlying the theory of change in program countries?</w:t>
            </w:r>
          </w:p>
        </w:tc>
      </w:tr>
      <w:tr w:rsidR="00337CA3" w14:paraId="14346C5F" w14:textId="77777777" w:rsidTr="001714FB">
        <w:tc>
          <w:tcPr>
            <w:tcW w:w="0" w:type="auto"/>
          </w:tcPr>
          <w:p w14:paraId="7AD1EF92" w14:textId="77777777" w:rsidR="00337CA3" w:rsidRDefault="00337CA3" w:rsidP="001714FB">
            <w:r w:rsidRPr="00680D37">
              <w:t>3.</w:t>
            </w:r>
            <w:r>
              <w:t xml:space="preserve"> </w:t>
            </w:r>
            <w:r w:rsidRPr="00680D37">
              <w:t>To inform SNI’s financial sustainability strategy by generating actionable insights for the diversification of funding, strategic partnerships, alternative funding sources, potential for income generation through services and fundraising opportunities at various levels.</w:t>
            </w:r>
          </w:p>
        </w:tc>
        <w:tc>
          <w:tcPr>
            <w:tcW w:w="0" w:type="auto"/>
          </w:tcPr>
          <w:p w14:paraId="62E0A88D" w14:textId="77777777" w:rsidR="00337CA3" w:rsidRDefault="00337CA3" w:rsidP="001714FB">
            <w:r>
              <w:t>Sustainability</w:t>
            </w:r>
          </w:p>
        </w:tc>
        <w:tc>
          <w:tcPr>
            <w:tcW w:w="0" w:type="auto"/>
          </w:tcPr>
          <w:p w14:paraId="5FAF1472" w14:textId="77777777" w:rsidR="00337CA3" w:rsidRDefault="00337CA3" w:rsidP="001714FB">
            <w:pPr>
              <w:pStyle w:val="ListParagraph"/>
              <w:numPr>
                <w:ilvl w:val="0"/>
                <w:numId w:val="1"/>
              </w:numPr>
              <w:ind w:left="179" w:hanging="218"/>
            </w:pPr>
            <w:r>
              <w:t>Are SNI’s contributions to improving knowledge networks, access, generation, sharing and application likely to be sustainable, in terms of:</w:t>
            </w:r>
          </w:p>
          <w:p w14:paraId="5AB0307B" w14:textId="77777777" w:rsidR="00337CA3" w:rsidRDefault="00337CA3" w:rsidP="001714FB">
            <w:pPr>
              <w:pStyle w:val="ListParagraph"/>
              <w:numPr>
                <w:ilvl w:val="0"/>
                <w:numId w:val="2"/>
              </w:numPr>
              <w:ind w:left="462" w:hanging="218"/>
            </w:pPr>
            <w:r>
              <w:t>sustainability of the results</w:t>
            </w:r>
          </w:p>
          <w:p w14:paraId="3440BB12" w14:textId="77777777" w:rsidR="00337CA3" w:rsidRDefault="00337CA3" w:rsidP="001714FB">
            <w:pPr>
              <w:pStyle w:val="ListParagraph"/>
              <w:numPr>
                <w:ilvl w:val="0"/>
                <w:numId w:val="2"/>
              </w:numPr>
              <w:ind w:left="462" w:hanging="218"/>
            </w:pPr>
            <w:r>
              <w:t>potential for financial sustainability (e.g. through fund-raising, co-funding or commercial potential of SNI’s products and services)</w:t>
            </w:r>
          </w:p>
          <w:p w14:paraId="325579F5" w14:textId="77777777" w:rsidR="00337CA3" w:rsidRDefault="00337CA3" w:rsidP="001714FB">
            <w:pPr>
              <w:pStyle w:val="ListParagraph"/>
              <w:numPr>
                <w:ilvl w:val="0"/>
                <w:numId w:val="2"/>
              </w:numPr>
              <w:ind w:left="462" w:hanging="218"/>
            </w:pPr>
            <w:r>
              <w:t>institutionalization of the potential changes in policy, practice and capacity</w:t>
            </w:r>
          </w:p>
        </w:tc>
      </w:tr>
    </w:tbl>
    <w:p w14:paraId="42F1810A" w14:textId="77777777" w:rsidR="006C01CF" w:rsidRDefault="006C01CF"/>
    <w:sectPr w:rsidR="006C01C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C6670"/>
    <w:multiLevelType w:val="hybridMultilevel"/>
    <w:tmpl w:val="F626C31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E7374BE"/>
    <w:multiLevelType w:val="hybridMultilevel"/>
    <w:tmpl w:val="025493E0"/>
    <w:lvl w:ilvl="0" w:tplc="04130001">
      <w:start w:val="1"/>
      <w:numFmt w:val="bullet"/>
      <w:lvlText w:val=""/>
      <w:lvlJc w:val="left"/>
      <w:pPr>
        <w:ind w:left="899" w:hanging="360"/>
      </w:pPr>
      <w:rPr>
        <w:rFonts w:ascii="Symbol" w:hAnsi="Symbol" w:hint="default"/>
      </w:rPr>
    </w:lvl>
    <w:lvl w:ilvl="1" w:tplc="04130003" w:tentative="1">
      <w:start w:val="1"/>
      <w:numFmt w:val="bullet"/>
      <w:lvlText w:val="o"/>
      <w:lvlJc w:val="left"/>
      <w:pPr>
        <w:ind w:left="1619" w:hanging="360"/>
      </w:pPr>
      <w:rPr>
        <w:rFonts w:ascii="Courier New" w:hAnsi="Courier New" w:cs="Courier New" w:hint="default"/>
      </w:rPr>
    </w:lvl>
    <w:lvl w:ilvl="2" w:tplc="04130005" w:tentative="1">
      <w:start w:val="1"/>
      <w:numFmt w:val="bullet"/>
      <w:lvlText w:val=""/>
      <w:lvlJc w:val="left"/>
      <w:pPr>
        <w:ind w:left="2339" w:hanging="360"/>
      </w:pPr>
      <w:rPr>
        <w:rFonts w:ascii="Wingdings" w:hAnsi="Wingdings" w:hint="default"/>
      </w:rPr>
    </w:lvl>
    <w:lvl w:ilvl="3" w:tplc="04130001" w:tentative="1">
      <w:start w:val="1"/>
      <w:numFmt w:val="bullet"/>
      <w:lvlText w:val=""/>
      <w:lvlJc w:val="left"/>
      <w:pPr>
        <w:ind w:left="3059" w:hanging="360"/>
      </w:pPr>
      <w:rPr>
        <w:rFonts w:ascii="Symbol" w:hAnsi="Symbol" w:hint="default"/>
      </w:rPr>
    </w:lvl>
    <w:lvl w:ilvl="4" w:tplc="04130003" w:tentative="1">
      <w:start w:val="1"/>
      <w:numFmt w:val="bullet"/>
      <w:lvlText w:val="o"/>
      <w:lvlJc w:val="left"/>
      <w:pPr>
        <w:ind w:left="3779" w:hanging="360"/>
      </w:pPr>
      <w:rPr>
        <w:rFonts w:ascii="Courier New" w:hAnsi="Courier New" w:cs="Courier New" w:hint="default"/>
      </w:rPr>
    </w:lvl>
    <w:lvl w:ilvl="5" w:tplc="04130005" w:tentative="1">
      <w:start w:val="1"/>
      <w:numFmt w:val="bullet"/>
      <w:lvlText w:val=""/>
      <w:lvlJc w:val="left"/>
      <w:pPr>
        <w:ind w:left="4499" w:hanging="360"/>
      </w:pPr>
      <w:rPr>
        <w:rFonts w:ascii="Wingdings" w:hAnsi="Wingdings" w:hint="default"/>
      </w:rPr>
    </w:lvl>
    <w:lvl w:ilvl="6" w:tplc="04130001" w:tentative="1">
      <w:start w:val="1"/>
      <w:numFmt w:val="bullet"/>
      <w:lvlText w:val=""/>
      <w:lvlJc w:val="left"/>
      <w:pPr>
        <w:ind w:left="5219" w:hanging="360"/>
      </w:pPr>
      <w:rPr>
        <w:rFonts w:ascii="Symbol" w:hAnsi="Symbol" w:hint="default"/>
      </w:rPr>
    </w:lvl>
    <w:lvl w:ilvl="7" w:tplc="04130003" w:tentative="1">
      <w:start w:val="1"/>
      <w:numFmt w:val="bullet"/>
      <w:lvlText w:val="o"/>
      <w:lvlJc w:val="left"/>
      <w:pPr>
        <w:ind w:left="5939" w:hanging="360"/>
      </w:pPr>
      <w:rPr>
        <w:rFonts w:ascii="Courier New" w:hAnsi="Courier New" w:cs="Courier New" w:hint="default"/>
      </w:rPr>
    </w:lvl>
    <w:lvl w:ilvl="8" w:tplc="04130005" w:tentative="1">
      <w:start w:val="1"/>
      <w:numFmt w:val="bullet"/>
      <w:lvlText w:val=""/>
      <w:lvlJc w:val="left"/>
      <w:pPr>
        <w:ind w:left="6659" w:hanging="360"/>
      </w:pPr>
      <w:rPr>
        <w:rFonts w:ascii="Wingdings" w:hAnsi="Wingdings" w:hint="default"/>
      </w:rPr>
    </w:lvl>
  </w:abstractNum>
  <w:num w:numId="1" w16cid:durableId="630018156">
    <w:abstractNumId w:val="0"/>
  </w:num>
  <w:num w:numId="2" w16cid:durableId="12263759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20"/>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CA3"/>
    <w:rsid w:val="00276665"/>
    <w:rsid w:val="00337CA3"/>
    <w:rsid w:val="006C01CF"/>
    <w:rsid w:val="00853739"/>
    <w:rsid w:val="00B04160"/>
    <w:rsid w:val="00DD46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373B1"/>
  <w15:chartTrackingRefBased/>
  <w15:docId w15:val="{E1FFDBD1-A609-44B3-A814-ACF9283E1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7CA3"/>
    <w:rPr>
      <w:rFonts w:ascii="Aptos" w:eastAsia="Aptos" w:hAnsi="Aptos" w:cs="Aptos"/>
      <w:kern w:val="0"/>
      <w:lang w:val="en-GB" w:eastAsia="nl-NL"/>
      <w14:ligatures w14:val="none"/>
    </w:rPr>
  </w:style>
  <w:style w:type="paragraph" w:styleId="Heading1">
    <w:name w:val="heading 1"/>
    <w:basedOn w:val="Normal"/>
    <w:next w:val="Normal"/>
    <w:link w:val="Heading1Char"/>
    <w:uiPriority w:val="9"/>
    <w:qFormat/>
    <w:rsid w:val="00337CA3"/>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337CA3"/>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337CA3"/>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337CA3"/>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337CA3"/>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337CA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7CA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7CA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7CA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7CA3"/>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337CA3"/>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337CA3"/>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337CA3"/>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337CA3"/>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337CA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7CA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7CA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7CA3"/>
    <w:rPr>
      <w:rFonts w:eastAsiaTheme="majorEastAsia" w:cstheme="majorBidi"/>
      <w:color w:val="272727" w:themeColor="text1" w:themeTint="D8"/>
    </w:rPr>
  </w:style>
  <w:style w:type="paragraph" w:styleId="Title">
    <w:name w:val="Title"/>
    <w:basedOn w:val="Normal"/>
    <w:next w:val="Normal"/>
    <w:link w:val="TitleChar"/>
    <w:uiPriority w:val="10"/>
    <w:qFormat/>
    <w:rsid w:val="00337CA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7CA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37CA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7CA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7CA3"/>
    <w:pPr>
      <w:spacing w:before="160"/>
      <w:jc w:val="center"/>
    </w:pPr>
    <w:rPr>
      <w:i/>
      <w:iCs/>
      <w:color w:val="404040" w:themeColor="text1" w:themeTint="BF"/>
    </w:rPr>
  </w:style>
  <w:style w:type="character" w:customStyle="1" w:styleId="QuoteChar">
    <w:name w:val="Quote Char"/>
    <w:basedOn w:val="DefaultParagraphFont"/>
    <w:link w:val="Quote"/>
    <w:uiPriority w:val="29"/>
    <w:rsid w:val="00337CA3"/>
    <w:rPr>
      <w:i/>
      <w:iCs/>
      <w:color w:val="404040" w:themeColor="text1" w:themeTint="BF"/>
    </w:rPr>
  </w:style>
  <w:style w:type="paragraph" w:styleId="ListParagraph">
    <w:name w:val="List Paragraph"/>
    <w:basedOn w:val="Normal"/>
    <w:uiPriority w:val="34"/>
    <w:qFormat/>
    <w:rsid w:val="00337CA3"/>
    <w:pPr>
      <w:ind w:left="720"/>
      <w:contextualSpacing/>
    </w:pPr>
  </w:style>
  <w:style w:type="character" w:styleId="IntenseEmphasis">
    <w:name w:val="Intense Emphasis"/>
    <w:basedOn w:val="DefaultParagraphFont"/>
    <w:uiPriority w:val="21"/>
    <w:qFormat/>
    <w:rsid w:val="00337CA3"/>
    <w:rPr>
      <w:i/>
      <w:iCs/>
      <w:color w:val="2E74B5" w:themeColor="accent1" w:themeShade="BF"/>
    </w:rPr>
  </w:style>
  <w:style w:type="paragraph" w:styleId="IntenseQuote">
    <w:name w:val="Intense Quote"/>
    <w:basedOn w:val="Normal"/>
    <w:next w:val="Normal"/>
    <w:link w:val="IntenseQuoteChar"/>
    <w:uiPriority w:val="30"/>
    <w:qFormat/>
    <w:rsid w:val="00337CA3"/>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337CA3"/>
    <w:rPr>
      <w:i/>
      <w:iCs/>
      <w:color w:val="2E74B5" w:themeColor="accent1" w:themeShade="BF"/>
    </w:rPr>
  </w:style>
  <w:style w:type="character" w:styleId="IntenseReference">
    <w:name w:val="Intense Reference"/>
    <w:basedOn w:val="DefaultParagraphFont"/>
    <w:uiPriority w:val="32"/>
    <w:qFormat/>
    <w:rsid w:val="00337CA3"/>
    <w:rPr>
      <w:b/>
      <w:bCs/>
      <w:smallCaps/>
      <w:color w:val="2E74B5" w:themeColor="accent1" w:themeShade="BF"/>
      <w:spacing w:val="5"/>
    </w:rPr>
  </w:style>
  <w:style w:type="table" w:styleId="TableGrid">
    <w:name w:val="Table Grid"/>
    <w:basedOn w:val="TableNormal"/>
    <w:uiPriority w:val="39"/>
    <w:rsid w:val="00337C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MP document" ma:contentTypeID="0x0101005F41E8534F19304CB428DFA905889265000C94A95884864C43954039F8E80CC253" ma:contentTypeVersion="28" ma:contentTypeDescription="Create a new pmp document" ma:contentTypeScope="" ma:versionID="224fa8362a11371a0bf2b6047de3c88b">
  <xsd:schema xmlns:xsd="http://www.w3.org/2001/XMLSchema" xmlns:xs="http://www.w3.org/2001/XMLSchema" xmlns:p="http://schemas.microsoft.com/office/2006/metadata/properties" xmlns:ns2="a110dc4f-40bb-407a-9b53-6ca31b8ea68c" xmlns:ns3="ae3613a1-278c-43f5-8556-e75d37fe82f1" xmlns:ns4="fc09715c-b28f-4318-a9f2-45eb034de3c6" xmlns:ns5="deb20e37-adab-4c8c-9fff-b1d8ccb9f528" xmlns:ns6="e2adf6b8-2c20-4e5d-b584-1919e4c00544" targetNamespace="http://schemas.microsoft.com/office/2006/metadata/properties" ma:root="true" ma:fieldsID="c59386f298ffb5ee76ca65c1fd5dd3f2" ns2:_="" ns3:_="" ns4:_="" ns5:_="" ns6:_="">
    <xsd:import namespace="a110dc4f-40bb-407a-9b53-6ca31b8ea68c"/>
    <xsd:import namespace="ae3613a1-278c-43f5-8556-e75d37fe82f1"/>
    <xsd:import namespace="fc09715c-b28f-4318-a9f2-45eb034de3c6"/>
    <xsd:import namespace="deb20e37-adab-4c8c-9fff-b1d8ccb9f528"/>
    <xsd:import namespace="e2adf6b8-2c20-4e5d-b584-1919e4c00544"/>
    <xsd:element name="properties">
      <xsd:complexType>
        <xsd:sequence>
          <xsd:element name="documentManagement">
            <xsd:complexType>
              <xsd:all>
                <xsd:element ref="ns2:TaxCatchAll" minOccurs="0"/>
                <xsd:element ref="ns2:TaxCatchAllLabel" minOccurs="0"/>
                <xsd:element ref="ns3:kcacd450225b4cad9b540ac447322a5a" minOccurs="0"/>
                <xsd:element ref="ns3:h33db9789afa4d78833e977b7fe54ea2" minOccurs="0"/>
                <xsd:element ref="ns5:pmp_projectid" minOccurs="0"/>
                <xsd:element ref="ns5:pmp_exactprojectnumber" minOccurs="0"/>
                <xsd:element ref="ns6:MediaServiceMetadata" minOccurs="0"/>
                <xsd:element ref="ns6:MediaServiceFastMetadata" minOccurs="0"/>
                <xsd:element ref="ns6:MediaServiceAutoKeyPoints" minOccurs="0"/>
                <xsd:element ref="ns6:MediaServiceKeyPoints" minOccurs="0"/>
                <xsd:element ref="ns6:MediaServiceAutoTags" minOccurs="0"/>
                <xsd:element ref="ns6:MediaServiceGenerationTime" minOccurs="0"/>
                <xsd:element ref="ns6:MediaServiceEventHashCode" minOccurs="0"/>
                <xsd:element ref="ns6:MediaServiceDateTaken" minOccurs="0"/>
                <xsd:element ref="ns6:MediaServiceOCR" minOccurs="0"/>
                <xsd:element ref="ns6:MediaServiceLocation" minOccurs="0"/>
                <xsd:element ref="ns4:SharedWithUsers" minOccurs="0"/>
                <xsd:element ref="ns4:SharedWithDetails" minOccurs="0"/>
                <xsd:element ref="ns6:MediaLengthInSeconds" minOccurs="0"/>
                <xsd:element ref="ns6:lcf76f155ced4ddcb4097134ff3c332f" minOccurs="0"/>
                <xsd:element ref="ns6:MediaServiceObjectDetectorVersions" minOccurs="0"/>
                <xsd:element ref="ns6: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10dc4f-40bb-407a-9b53-6ca31b8ea68c"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88eb627e-b73e-4048-aa89-fa7f1d257cf5}" ma:internalName="TaxCatchAll" ma:showField="CatchAllData" ma:web="fc09715c-b28f-4318-a9f2-45eb034de3c6">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88eb627e-b73e-4048-aa89-fa7f1d257cf5}" ma:internalName="TaxCatchAllLabel" ma:readOnly="true" ma:showField="CatchAllDataLabel" ma:web="fc09715c-b28f-4318-a9f2-45eb034de3c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e3613a1-278c-43f5-8556-e75d37fe82f1" elementFormDefault="qualified">
    <xsd:import namespace="http://schemas.microsoft.com/office/2006/documentManagement/types"/>
    <xsd:import namespace="http://schemas.microsoft.com/office/infopath/2007/PartnerControls"/>
    <xsd:element name="kcacd450225b4cad9b540ac447322a5a" ma:index="10" nillable="true" ma:taxonomy="true" ma:internalName="kcacd450225b4cad9b540ac447322a5a" ma:taxonomyFieldName="pmp_documentstatus" ma:displayName="Document status" ma:default="" ma:fieldId="{4cacd450-225b-4cad-9b54-0ac447322a5a}" ma:sspId="b39e6daf-d12b-42e1-8c22-1710989d671e" ma:termSetId="7d6702a6-a533-4fbf-85bc-a922c82c474f" ma:anchorId="00000000-0000-0000-0000-000000000000" ma:open="false" ma:isKeyword="false">
      <xsd:complexType>
        <xsd:sequence>
          <xsd:element ref="pc:Terms" minOccurs="0" maxOccurs="1"/>
        </xsd:sequence>
      </xsd:complexType>
    </xsd:element>
    <xsd:element name="h33db9789afa4d78833e977b7fe54ea2" ma:index="11" nillable="true" ma:taxonomy="true" ma:internalName="h33db9789afa4d78833e977b7fe54ea2" ma:taxonomyFieldName="pmp_documenttype" ma:displayName="Document type" ma:default="" ma:fieldId="{133db978-9afa-4d78-833e-977b7fe54ea2}" ma:sspId="b39e6daf-d12b-42e1-8c22-1710989d671e" ma:termSetId="545d1549-8c5c-42be-8286-74c2b9286a9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c09715c-b28f-4318-a9f2-45eb034de3c6" elementFormDefault="qualified">
    <xsd:import namespace="http://schemas.microsoft.com/office/2006/documentManagement/types"/>
    <xsd:import namespace="http://schemas.microsoft.com/office/infopath/2007/PartnerControls"/>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b20e37-adab-4c8c-9fff-b1d8ccb9f528" elementFormDefault="qualified">
    <xsd:import namespace="http://schemas.microsoft.com/office/2006/documentManagement/types"/>
    <xsd:import namespace="http://schemas.microsoft.com/office/infopath/2007/PartnerControls"/>
    <xsd:element name="pmp_projectid" ma:index="14" nillable="true" ma:displayName="ProjectID" ma:decimals="0" ma:default="2122" ma:internalName="pmp_projectid" ma:percentage="FALSE">
      <xsd:simpleType>
        <xsd:restriction base="dms:Number"/>
      </xsd:simpleType>
    </xsd:element>
    <xsd:element name="pmp_exactprojectnumber" ma:index="15" nillable="true" ma:displayName="Exact project number" ma:default="102012404" ma:internalName="pmp_exactprojectnumb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adf6b8-2c20-4e5d-b584-1919e4c00544"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Location" ma:index="25" nillable="true" ma:displayName="Location" ma:internalName="MediaServiceLocation" ma:readOnly="true">
      <xsd:simpleType>
        <xsd:restriction base="dms:Text"/>
      </xsd:simpleType>
    </xsd:element>
    <xsd:element name="MediaLengthInSeconds" ma:index="28" nillable="true" ma:displayName="Length (seconds)" ma:internalName="MediaLengthInSeconds" ma:readOnly="true">
      <xsd:simpleType>
        <xsd:restriction base="dms:Unknown"/>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b39e6daf-d12b-42e1-8c22-1710989d671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mp_exactprojectnumber xmlns="deb20e37-adab-4c8c-9fff-b1d8ccb9f528">102012404</pmp_exactprojectnumber>
    <pmp_projectid xmlns="deb20e37-adab-4c8c-9fff-b1d8ccb9f528">2122</pmp_projectid>
    <kcacd450225b4cad9b540ac447322a5a xmlns="ae3613a1-278c-43f5-8556-e75d37fe82f1">
      <Terms xmlns="http://schemas.microsoft.com/office/infopath/2007/PartnerControls"/>
    </kcacd450225b4cad9b540ac447322a5a>
    <lcf76f155ced4ddcb4097134ff3c332f xmlns="e2adf6b8-2c20-4e5d-b584-1919e4c00544">
      <Terms xmlns="http://schemas.microsoft.com/office/infopath/2007/PartnerControls"/>
    </lcf76f155ced4ddcb4097134ff3c332f>
    <TaxCatchAll xmlns="a110dc4f-40bb-407a-9b53-6ca31b8ea68c" xsi:nil="true"/>
    <h33db9789afa4d78833e977b7fe54ea2 xmlns="ae3613a1-278c-43f5-8556-e75d37fe82f1">
      <Terms xmlns="http://schemas.microsoft.com/office/infopath/2007/PartnerControls"/>
    </h33db9789afa4d78833e977b7fe54ea2>
  </documentManagement>
</p:properties>
</file>

<file path=customXml/itemProps1.xml><?xml version="1.0" encoding="utf-8"?>
<ds:datastoreItem xmlns:ds="http://schemas.openxmlformats.org/officeDocument/2006/customXml" ds:itemID="{E3944E4F-2F35-4BE8-B2BC-E161BD473C3F}"/>
</file>

<file path=customXml/itemProps2.xml><?xml version="1.0" encoding="utf-8"?>
<ds:datastoreItem xmlns:ds="http://schemas.openxmlformats.org/officeDocument/2006/customXml" ds:itemID="{DCB089B5-88A7-4B8D-8B10-2B47B2655987}"/>
</file>

<file path=customXml/itemProps3.xml><?xml version="1.0" encoding="utf-8"?>
<ds:datastoreItem xmlns:ds="http://schemas.openxmlformats.org/officeDocument/2006/customXml" ds:itemID="{60ACD54B-5B3F-4274-87DD-8675A1C59339}"/>
</file>

<file path=docProps/app.xml><?xml version="1.0" encoding="utf-8"?>
<Properties xmlns="http://schemas.openxmlformats.org/officeDocument/2006/extended-properties" xmlns:vt="http://schemas.openxmlformats.org/officeDocument/2006/docPropsVTypes">
  <Template>Normal</Template>
  <TotalTime>2</TotalTime>
  <Pages>2</Pages>
  <Words>437</Words>
  <Characters>2405</Characters>
  <Application>Microsoft Office Word</Application>
  <DocSecurity>0</DocSecurity>
  <Lines>20</Lines>
  <Paragraphs>5</Paragraphs>
  <ScaleCrop>false</ScaleCrop>
  <Company>Koninklijk Instituut voor de Tropen</Company>
  <LinksUpToDate>false</LinksUpToDate>
  <CharactersWithSpaces>2837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Camilo Antillon</dc:creator>
  <cp:keywords/>
  <dc:description/>
  <cp:lastModifiedBy>Camilo Antillon</cp:lastModifiedBy>
  <cp:revision>3</cp:revision>
  <dcterms:created xsi:type="dcterms:W3CDTF">2025-01-12T12:44:00Z</dcterms:created>
  <dcterms:modified xsi:type="dcterms:W3CDTF">2025-01-12T12:46:00Z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0x0101005F41E8534F19304CB428DFA905889265000C94A95884864C43954039F8E80CC253</vt:lpwstr>
  </property>
</Properties>
</file>